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40" w:rsidRPr="008D14BB" w:rsidRDefault="00BF6440" w:rsidP="008D14BB">
      <w:pPr>
        <w:spacing w:line="360" w:lineRule="auto"/>
        <w:jc w:val="center"/>
        <w:rPr>
          <w:b/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center"/>
        <w:rPr>
          <w:b/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center"/>
        <w:rPr>
          <w:b/>
          <w:sz w:val="28"/>
          <w:szCs w:val="28"/>
        </w:rPr>
      </w:pPr>
      <w:r w:rsidRPr="008D14BB">
        <w:rPr>
          <w:b/>
          <w:sz w:val="28"/>
          <w:szCs w:val="28"/>
        </w:rPr>
        <w:t xml:space="preserve">LITURGIA E TRANSMISSÃO DA FÉ </w:t>
      </w:r>
    </w:p>
    <w:p w:rsidR="00BF6440" w:rsidRDefault="00BF6440" w:rsidP="008D14BB">
      <w:pPr>
        <w:spacing w:line="360" w:lineRule="auto"/>
        <w:jc w:val="center"/>
        <w:rPr>
          <w:b/>
          <w:caps/>
          <w:sz w:val="28"/>
          <w:szCs w:val="28"/>
        </w:rPr>
      </w:pPr>
    </w:p>
    <w:p w:rsidR="008D14BB" w:rsidRPr="008D14BB" w:rsidRDefault="008D14BB" w:rsidP="008D14BB">
      <w:pPr>
        <w:jc w:val="right"/>
        <w:rPr>
          <w:i/>
          <w:caps/>
          <w:sz w:val="28"/>
          <w:szCs w:val="28"/>
        </w:rPr>
      </w:pPr>
      <w:r w:rsidRPr="008D14BB">
        <w:rPr>
          <w:i/>
          <w:sz w:val="28"/>
          <w:szCs w:val="28"/>
        </w:rPr>
        <w:t>D. Geraldo Lyrio Rocha</w:t>
      </w:r>
    </w:p>
    <w:p w:rsidR="008D14BB" w:rsidRPr="008D14BB" w:rsidRDefault="008D14BB" w:rsidP="008D14BB">
      <w:pPr>
        <w:jc w:val="right"/>
        <w:rPr>
          <w:i/>
          <w:caps/>
          <w:sz w:val="28"/>
          <w:szCs w:val="28"/>
        </w:rPr>
      </w:pPr>
      <w:r w:rsidRPr="008D14BB">
        <w:rPr>
          <w:i/>
          <w:sz w:val="28"/>
          <w:szCs w:val="28"/>
        </w:rPr>
        <w:t>Arcebispo De Mariana</w:t>
      </w:r>
    </w:p>
    <w:p w:rsidR="008D14BB" w:rsidRPr="008D14BB" w:rsidRDefault="008D14BB" w:rsidP="008D14BB">
      <w:pPr>
        <w:spacing w:line="360" w:lineRule="auto"/>
        <w:jc w:val="right"/>
        <w:rPr>
          <w:b/>
          <w:caps/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A formação na fé das novas gerações, bem como toda a ação evangelizadora, deve levar as pessoas à experiência profunda do encontro com Jesus Cristo vivo. A Sagrada Liturgia é um dos lugares privilegiados desse encontro (cf. Ecclesia in America, n. 12). Pelo seu Espírito, Jesus, está presente na Igreja, sobretudo nas ações litúrgicas (cf. SC 7) e o encontro pessoal com o Senhor se dá especialmente na celebração da Eucaristia.  </w:t>
      </w:r>
      <w:r w:rsidRPr="008D14BB">
        <w:rPr>
          <w:rFonts w:eastAsia="Calibri"/>
          <w:sz w:val="28"/>
          <w:szCs w:val="28"/>
        </w:rPr>
        <w:t xml:space="preserve">O mistério de Cristo é comunicado aos fiéis na proclamação da palavra e na celebração sacramental. </w:t>
      </w:r>
      <w:r w:rsidRPr="008D14BB">
        <w:rPr>
          <w:sz w:val="28"/>
          <w:szCs w:val="28"/>
        </w:rPr>
        <w:t xml:space="preserve">Consequentemente, as celebrações litúrgicas têm o sagrado dever de possibilitar sentir, experimentar e vivenciar Jesus, Palavra do Pai, que pelo seu Espírito está presente no meio de nós (cf. SC 14). </w:t>
      </w:r>
    </w:p>
    <w:p w:rsidR="00BF6440" w:rsidRPr="008D14BB" w:rsidRDefault="00BF6440" w:rsidP="008D14BB">
      <w:pPr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836DB" w:rsidTr="001836DB">
        <w:tc>
          <w:tcPr>
            <w:tcW w:w="8644" w:type="dxa"/>
          </w:tcPr>
          <w:p w:rsidR="001836DB" w:rsidRPr="001836DB" w:rsidRDefault="001836DB" w:rsidP="00CE4AAA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8D14BB">
              <w:rPr>
                <w:sz w:val="28"/>
                <w:szCs w:val="28"/>
              </w:rPr>
              <w:t xml:space="preserve">A Igreja crê da mesma maneira que ora: </w:t>
            </w:r>
            <w:r w:rsidRPr="008D14BB">
              <w:rPr>
                <w:i/>
                <w:sz w:val="28"/>
                <w:szCs w:val="28"/>
              </w:rPr>
              <w:t>Lex orandi lex credendi</w:t>
            </w:r>
            <w:r w:rsidRPr="008D14BB">
              <w:rPr>
                <w:sz w:val="28"/>
                <w:szCs w:val="28"/>
              </w:rPr>
              <w:t xml:space="preserve"> - A liturgia, através dos ritos e das preces, nos dá e nos transmite o conteúdo da fé (SC 48).  </w:t>
            </w:r>
            <w:r w:rsidRPr="008D14BB">
              <w:rPr>
                <w:rFonts w:eastAsia="Calibri"/>
                <w:sz w:val="28"/>
                <w:szCs w:val="28"/>
              </w:rPr>
              <w:t>“A Liturgia é fonte e lugar de evangelização, pois nela Deus fala a seu povo e Cristo aí anuncia o Evangelho” (cf. SC 33).</w:t>
            </w:r>
          </w:p>
        </w:tc>
      </w:tr>
    </w:tbl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Na própria maneira como ela é celebrada, a Liturgia deve se expressar como lugar especial de presença do Evangelho vivo e, portanto, o espaço privilegiado de educação da fé, ou ainda, “a santa mistagogia permanente da Igreja”. A beleza encantadora e contagiante do mistério escondido nos </w:t>
      </w:r>
      <w:r w:rsidRPr="008D14BB">
        <w:rPr>
          <w:sz w:val="28"/>
          <w:szCs w:val="28"/>
        </w:rPr>
        <w:lastRenderedPageBreak/>
        <w:t xml:space="preserve">ritos e nos símbolos deve poder expressar-se com toda a sua pujança, para que a Liturgia seja realmente evangelizadora. 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1836DB" w:rsidTr="001836DB">
        <w:tc>
          <w:tcPr>
            <w:tcW w:w="8644" w:type="dxa"/>
          </w:tcPr>
          <w:p w:rsidR="001836DB" w:rsidRDefault="001836DB" w:rsidP="008D14B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8D14BB">
              <w:rPr>
                <w:sz w:val="28"/>
                <w:szCs w:val="28"/>
              </w:rPr>
              <w:t>A consciência da sacramentalidade da liturgia é pois sumamente importante na evangelização e na formação na fé das novas gerações. Ela nos educa na fé precisamente “mediante sinais sensíveis”.</w:t>
            </w:r>
          </w:p>
        </w:tc>
      </w:tr>
    </w:tbl>
    <w:p w:rsidR="00BF6440" w:rsidRPr="008D14BB" w:rsidRDefault="00BF6440" w:rsidP="008D14BB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Daí a necessidade de tomarmos consciência da importância da </w:t>
      </w:r>
      <w:r w:rsidRPr="008D14BB">
        <w:rPr>
          <w:i/>
          <w:sz w:val="28"/>
          <w:szCs w:val="28"/>
        </w:rPr>
        <w:t>ars celebrandi</w:t>
      </w:r>
      <w:r w:rsidRPr="008D14BB">
        <w:rPr>
          <w:sz w:val="28"/>
          <w:szCs w:val="28"/>
        </w:rPr>
        <w:t xml:space="preserve"> como a melhor evangelização, como nos ensina Bento XVI na Exortação Apostólica </w:t>
      </w:r>
      <w:r w:rsidRPr="008D14BB">
        <w:rPr>
          <w:i/>
          <w:sz w:val="28"/>
          <w:szCs w:val="28"/>
        </w:rPr>
        <w:t xml:space="preserve">Sacramentum Caritatis </w:t>
      </w:r>
      <w:r w:rsidRPr="008D14BB">
        <w:rPr>
          <w:sz w:val="28"/>
          <w:szCs w:val="28"/>
        </w:rPr>
        <w:t xml:space="preserve">(n.38-65). </w:t>
      </w:r>
      <w:r w:rsidRPr="008D14BB">
        <w:rPr>
          <w:rFonts w:eastAsia="Calibri"/>
          <w:sz w:val="28"/>
          <w:szCs w:val="28"/>
        </w:rPr>
        <w:t xml:space="preserve">A Liturgia deve contribuir, mas a seu modo, pela sua própria natureza, na tarefa evangelizadora: “A Liturgia anuncia a Boa Nova </w:t>
      </w:r>
      <w:r w:rsidRPr="008D14BB">
        <w:rPr>
          <w:rFonts w:eastAsia="Calibri"/>
          <w:i/>
          <w:sz w:val="28"/>
          <w:szCs w:val="28"/>
        </w:rPr>
        <w:t>celebrando-a</w:t>
      </w:r>
      <w:r w:rsidRPr="008D14BB">
        <w:rPr>
          <w:rFonts w:eastAsia="Calibri"/>
          <w:sz w:val="28"/>
          <w:szCs w:val="28"/>
        </w:rPr>
        <w:t xml:space="preserve">" (cf. SC 33). </w:t>
      </w: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A expressão da fé não é um ato meramente individual. Realiza-se por meio da comunidade eclesial, do povo de Deus. A Liturgia é a porta de entrada para a experiência da fé. É pela Liturgia que as pessoas têm, normalmente, o primeiro contato com a Igreja. A celebração litúrgica leva a uma experiência ativa da fé. Cristo, fazendo-se presente nas ações litúrgicas e na assembleia celebrante, nos leva a aderir a ele e ao seu projeto salvífico (cf. SC 33; IGMR 55). Assim, na transmissão da fé, a Liturgia desempenha um papel de extraordinária relevância, não só na iniciação cristã, mas na educação da fé dos próprios batizados.  Os sacramentos alimentam a fé. </w:t>
      </w: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A Liturgia tem ainda a missão de levar os fiéis à plena maturidade da fé (SC 59). Daí a mútua relação entre Catequese e Liturgia: a Catequese faz parte de um processo que culmina e se ambienta na Liturgia; e a Liturgia, além de ter em si mesma uma dimensão catequética, é cumprimento e presença do mistério da salvação anunciado na Catequese. A Liturgia é pois lugar da educação da fé, porque nela a fé se forma, se desenvolve, se </w:t>
      </w:r>
      <w:r w:rsidRPr="008D14BB">
        <w:rPr>
          <w:sz w:val="28"/>
          <w:szCs w:val="28"/>
        </w:rPr>
        <w:lastRenderedPageBreak/>
        <w:t>estrutura e se alimenta. Embora tenha uma grande eficácia didática, a finalidade da Liturgia não é direta e imediatamente ensinar. As celebrações não são e não podem ser reduzidas a uma lição ou sessão de catequese. Sua finalidade própria é cultual, mistagógica, atualizadora do desígnio de salvação realizado em Cristo.</w:t>
      </w: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836DB" w:rsidTr="001836DB">
        <w:tc>
          <w:tcPr>
            <w:tcW w:w="8644" w:type="dxa"/>
          </w:tcPr>
          <w:p w:rsidR="001836DB" w:rsidRDefault="001836DB" w:rsidP="008D14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14BB">
              <w:rPr>
                <w:sz w:val="28"/>
                <w:szCs w:val="28"/>
              </w:rPr>
              <w:t xml:space="preserve">A proclamação da Palavra de Deus na Liturgia tem um imenso poder evangelizador, pois faz com que a assembleia, ao ouvir a Palavra, viva uma profunda experiência do mistério de Deus. </w:t>
            </w:r>
          </w:p>
        </w:tc>
      </w:tr>
    </w:tbl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pStyle w:val="Textodenotaderodap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14BB">
        <w:rPr>
          <w:sz w:val="28"/>
          <w:szCs w:val="28"/>
        </w:rPr>
        <w:t>O mesmo, com certeza, vale para a homilia como parte integrante da Liturgia. Por isso, o Papa Bento XVI, na Exortação pós-sinodal “</w:t>
      </w:r>
      <w:r w:rsidRPr="008D14BB">
        <w:rPr>
          <w:i/>
          <w:sz w:val="28"/>
          <w:szCs w:val="28"/>
        </w:rPr>
        <w:t>Sacramentum Caritatis</w:t>
      </w:r>
      <w:r w:rsidRPr="008D14BB">
        <w:rPr>
          <w:sz w:val="28"/>
          <w:szCs w:val="28"/>
        </w:rPr>
        <w:t xml:space="preserve">”, faz este apelo: “de modo particular, peço aos ministros para fazerem com que a homilia coloque a Palavra de Deus proclamada em estreita relação com a celebração sacramental e com a vida da comunidade, de tal modo que a Palavra de Deus seja realmente apoio e vida da Igreja. Tenha-se presente, portanto, a finalidade catequética e exortativa da homilia” (n. 46). Em sua Exortação Apostólica </w:t>
      </w:r>
      <w:r w:rsidRPr="008D14BB">
        <w:rPr>
          <w:i/>
          <w:sz w:val="28"/>
          <w:szCs w:val="28"/>
        </w:rPr>
        <w:t>Evangelii gaudium</w:t>
      </w:r>
      <w:r w:rsidRPr="008D14BB">
        <w:rPr>
          <w:sz w:val="28"/>
          <w:szCs w:val="28"/>
        </w:rPr>
        <w:t>, diz-nos o Papa Francisco: “É</w:t>
      </w:r>
      <w:r w:rsidRPr="008D14BB">
        <w:rPr>
          <w:color w:val="000000"/>
          <w:sz w:val="28"/>
          <w:szCs w:val="28"/>
          <w:shd w:val="clear" w:color="auto" w:fill="FFFFFF"/>
        </w:rPr>
        <w:t xml:space="preserve"> oportuno recordar que «a proclamação litúrgica da Palavra de Deus, principalmente no contexto da assembleia eucarística, não é tanto um momento de meditação e de catequese, como sobretudo  diálogo de Deus com o seu povo, no qual se proclamam as maravilhas da salvação e se propõem continuamente as exigências da Aliança».</w:t>
      </w:r>
      <w:r w:rsidRPr="008D14B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14BB">
        <w:rPr>
          <w:color w:val="000000"/>
          <w:sz w:val="28"/>
          <w:szCs w:val="28"/>
          <w:shd w:val="clear" w:color="auto" w:fill="FFFFFF"/>
        </w:rPr>
        <w:t xml:space="preserve">Reveste-se de um valor especial a homilia, derivado do seu contexto eucarístico, que supera toda a catequese por ser o momento mais alto do diálogo entre Deus e o seu povo, antes da comunhão sacramental. A homilia é um retomar este diálogo que já está estabelecido entre o Senhor e o seu povo. Aquele que prega deve conhecer o coração da sua comunidade para identificar onde está vivo e ardente o desejo de Deus </w:t>
      </w:r>
      <w:r w:rsidRPr="008D14BB">
        <w:rPr>
          <w:color w:val="000000"/>
          <w:sz w:val="28"/>
          <w:szCs w:val="28"/>
          <w:shd w:val="clear" w:color="auto" w:fill="FFFFFF"/>
        </w:rPr>
        <w:lastRenderedPageBreak/>
        <w:t>e também onde é que este diálogo de amor foi sufocado ou não pôde dar fruto</w:t>
      </w:r>
      <w:r w:rsidRPr="008D14BB">
        <w:rPr>
          <w:sz w:val="28"/>
          <w:szCs w:val="28"/>
        </w:rPr>
        <w:t xml:space="preserve">” </w:t>
      </w:r>
      <w:r w:rsidRPr="008D14BB">
        <w:rPr>
          <w:rStyle w:val="Refdenotaderodap"/>
          <w:sz w:val="28"/>
          <w:szCs w:val="28"/>
        </w:rPr>
        <w:footnoteReference w:id="1"/>
      </w:r>
      <w:r w:rsidRPr="008D14BB">
        <w:rPr>
          <w:color w:val="000000"/>
          <w:sz w:val="28"/>
          <w:szCs w:val="28"/>
          <w:shd w:val="clear" w:color="auto" w:fill="FFFFFF"/>
        </w:rPr>
        <w:t>.</w:t>
      </w:r>
    </w:p>
    <w:p w:rsidR="00BF6440" w:rsidRPr="008D14BB" w:rsidRDefault="00BF6440" w:rsidP="008D14BB">
      <w:pPr>
        <w:pStyle w:val="Textodenotaderodap"/>
        <w:spacing w:line="360" w:lineRule="auto"/>
        <w:jc w:val="both"/>
        <w:rPr>
          <w:sz w:val="28"/>
          <w:szCs w:val="28"/>
        </w:rPr>
      </w:pPr>
      <w:r w:rsidRPr="008D14BB">
        <w:rPr>
          <w:color w:val="000000"/>
          <w:sz w:val="28"/>
          <w:szCs w:val="28"/>
          <w:shd w:val="clear" w:color="auto" w:fill="FFFFFF"/>
        </w:rPr>
        <w:t>E acrescenta o Papa Francisco: “A homilia não pode ser um espetáculo de divertimento, não corresponde à lógica dos recursos midiáticos, mas deve dar fervor e significado à celebração. É um gênero peculiar, já que se trata de uma pregação no quadro duma celebração</w:t>
      </w:r>
      <w:r w:rsidRPr="008D14BB">
        <w:rPr>
          <w:rStyle w:val="apple-converted-space"/>
          <w:sz w:val="28"/>
          <w:szCs w:val="28"/>
          <w:shd w:val="clear" w:color="auto" w:fill="FFFFFF"/>
        </w:rPr>
        <w:t> </w:t>
      </w:r>
      <w:r w:rsidRPr="008D14BB">
        <w:rPr>
          <w:i/>
          <w:iCs/>
          <w:color w:val="000000"/>
          <w:sz w:val="28"/>
          <w:szCs w:val="28"/>
          <w:shd w:val="clear" w:color="auto" w:fill="FFFFFF"/>
        </w:rPr>
        <w:t>litúrgica</w:t>
      </w:r>
      <w:r w:rsidRPr="008D14BB">
        <w:rPr>
          <w:color w:val="000000"/>
          <w:sz w:val="28"/>
          <w:szCs w:val="28"/>
          <w:shd w:val="clear" w:color="auto" w:fill="FFFFFF"/>
        </w:rPr>
        <w:t>; por conseguinte, deve ser breve e evitar que se pareça com uma conferência ou uma aula. O pregador pode até ser capaz de manter vivo o interesse das pessoas por uma hora, mas assim a sua palavra torna-se mais importante que a celebração da fé. Se a homilia se prolonga demasiado, lesa duas características da celebração litúrgica: a harmonia entre as suas partes e o seu ritmo. Quando a pregação se realiza no contexto da Liturgia, incorpora-se como parte da oferenda que se entrega ao Pai e como mediação da graça que Cristo derrama na celebração. Este mesmo contexto exige que a pregação oriente a assembleia, e também o pregador, para uma comunhão com Cristo na Eucaristia, que transforme a vida. Isto requer que a palavra do pregador não ocupe um lugar excessivo, para que o Senhor brilhe mais que o ministro”</w:t>
      </w:r>
      <w:r w:rsidRPr="008D14BB">
        <w:rPr>
          <w:rStyle w:val="Refdenotaderodap"/>
          <w:sz w:val="28"/>
          <w:szCs w:val="28"/>
          <w:shd w:val="clear" w:color="auto" w:fill="FFFFFF"/>
        </w:rPr>
        <w:footnoteReference w:id="2"/>
      </w:r>
      <w:r w:rsidRPr="008D14BB">
        <w:rPr>
          <w:color w:val="000000"/>
          <w:sz w:val="28"/>
          <w:szCs w:val="28"/>
          <w:shd w:val="clear" w:color="auto" w:fill="FFFFFF"/>
        </w:rPr>
        <w:t>.</w:t>
      </w:r>
    </w:p>
    <w:p w:rsidR="00BF6440" w:rsidRPr="008D14BB" w:rsidRDefault="00BF6440" w:rsidP="008D14BB">
      <w:pPr>
        <w:pStyle w:val="Textodenotaderodap"/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1836DB" w:rsidTr="001836DB">
        <w:tc>
          <w:tcPr>
            <w:tcW w:w="8644" w:type="dxa"/>
          </w:tcPr>
          <w:p w:rsidR="001836DB" w:rsidRDefault="001836DB" w:rsidP="008D14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14BB">
              <w:rPr>
                <w:sz w:val="28"/>
                <w:szCs w:val="28"/>
              </w:rPr>
              <w:t xml:space="preserve">Os gestos, símbolos e ações simbólicas na celebração litúrgica, quando realizados conscientemente, com autenticidade, de forma verdadeira, com amor, com espiritualidade e bom gosto, gozam de alto poder comunicativo do mistério celebrado e, por isso mesmo, contribuem para uma viva experiência do mistério, evangelizam e educam na fé. </w:t>
            </w:r>
          </w:p>
        </w:tc>
      </w:tr>
    </w:tbl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O próprio espaço litúrgico, pela beleza de sua forma arquitetônica, pela harmonia de sua disposição interna e por sua iconografia, goza de significativa força na transmissão da fé: o espaço educa a uma fé que se </w:t>
      </w:r>
      <w:r w:rsidRPr="008D14BB">
        <w:rPr>
          <w:sz w:val="28"/>
          <w:szCs w:val="28"/>
        </w:rPr>
        <w:lastRenderedPageBreak/>
        <w:t xml:space="preserve">traduz em espiritualidade comunitária. O mesmo vale para o canto e a música, pois têm a especial capacidade de atingir os corações e, como rito, grande eficácia pedagógica para levá-los a penetrar no mistério celebrado. </w:t>
      </w: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Enfim, uma das mais significativas forças mistagógicas da </w:t>
      </w:r>
      <w:r w:rsidRPr="008D14BB">
        <w:rPr>
          <w:i/>
          <w:sz w:val="28"/>
          <w:szCs w:val="28"/>
        </w:rPr>
        <w:t xml:space="preserve">ars celebrandi </w:t>
      </w:r>
      <w:r w:rsidRPr="008D14BB">
        <w:rPr>
          <w:sz w:val="28"/>
          <w:szCs w:val="28"/>
        </w:rPr>
        <w:t xml:space="preserve">  reside no exercício da presidência da Liturgia, sobretudo da Eucaristia. </w:t>
      </w: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836DB" w:rsidTr="001836DB">
        <w:tc>
          <w:tcPr>
            <w:tcW w:w="8644" w:type="dxa"/>
          </w:tcPr>
          <w:p w:rsidR="001836DB" w:rsidRDefault="001836DB" w:rsidP="008D14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14BB">
              <w:rPr>
                <w:sz w:val="28"/>
                <w:szCs w:val="28"/>
              </w:rPr>
              <w:t>O Papa Bento XVI afirma categoricamente que “a melhor catequese sobre a Eucaristia é a própria Eucaristia bem celebrada”, o que vale, com certeza, também para os outros sacramentos e toda a vida litúrgica.</w:t>
            </w:r>
          </w:p>
        </w:tc>
      </w:tr>
    </w:tbl>
    <w:p w:rsidR="001836DB" w:rsidRDefault="001836DB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  <w:r w:rsidRPr="008D14BB">
        <w:rPr>
          <w:sz w:val="28"/>
          <w:szCs w:val="28"/>
        </w:rPr>
        <w:t xml:space="preserve">Se assim se proceder nas comunidades eclesiais, então a Liturgia contribuirá enormemente para a formação cristã e, consequentemente, para a transmissão da fé às novas gerações. </w:t>
      </w: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rFonts w:eastAsia="Calibri"/>
          <w:sz w:val="28"/>
          <w:szCs w:val="28"/>
        </w:rPr>
      </w:pPr>
      <w:r w:rsidRPr="008D14BB">
        <w:rPr>
          <w:rFonts w:eastAsia="Calibri"/>
          <w:sz w:val="28"/>
          <w:szCs w:val="28"/>
        </w:rPr>
        <w:t xml:space="preserve">Neste contexto, emerge a exigência da inculturação da Liturgia. É evidente que a Liturgia, se quiser contribuir eficazmente no processo da formação da fé das novas gerações, deve necessariamente também adaptar-se às diversas expressões culturais, deve inculturar-se. A inculturação da Liturgia já é, podemos dizer, uma exigência da Igreja. O papa João Paulo II, na sua Carta Apostólica </w:t>
      </w:r>
      <w:r w:rsidRPr="008D14BB">
        <w:rPr>
          <w:rFonts w:eastAsia="Calibri"/>
          <w:i/>
          <w:sz w:val="28"/>
          <w:szCs w:val="28"/>
        </w:rPr>
        <w:t>Vicesimus quintus annus</w:t>
      </w:r>
      <w:r w:rsidRPr="008D14BB">
        <w:rPr>
          <w:rFonts w:eastAsia="Calibri"/>
          <w:sz w:val="28"/>
          <w:szCs w:val="28"/>
        </w:rPr>
        <w:t xml:space="preserve">, assim se expressa: "tarefa importante para o futuro é a da adaptação da Liturgia às diferentes culturas/.../. Resta ainda um considerável esforço a fazer, em continuidade com o que já se fez, para que lance raízes em algumas culturas, acolhendo aquelas expressões que possam harmonizar-se com os aspectos do </w:t>
      </w:r>
      <w:r w:rsidRPr="008D14BB">
        <w:rPr>
          <w:rFonts w:eastAsia="Calibri"/>
          <w:i/>
          <w:sz w:val="28"/>
          <w:szCs w:val="28"/>
        </w:rPr>
        <w:t>verdadeiro e autêntico espírito da Liturgia</w:t>
      </w:r>
      <w:r w:rsidRPr="008D14BB">
        <w:rPr>
          <w:rFonts w:eastAsia="Calibri"/>
          <w:sz w:val="28"/>
          <w:szCs w:val="28"/>
        </w:rPr>
        <w:t xml:space="preserve"> e respeitando a </w:t>
      </w:r>
      <w:r w:rsidRPr="008D14BB">
        <w:rPr>
          <w:rFonts w:eastAsia="Calibri"/>
          <w:i/>
          <w:sz w:val="28"/>
          <w:szCs w:val="28"/>
        </w:rPr>
        <w:t>unidade substancial do Rito romano</w:t>
      </w:r>
      <w:r w:rsidRPr="008D14BB">
        <w:rPr>
          <w:rFonts w:eastAsia="Calibri"/>
          <w:sz w:val="28"/>
          <w:szCs w:val="28"/>
        </w:rPr>
        <w:t>, bem patente nos livros litúrgicos. O papa Francisco acrescenta: “</w:t>
      </w:r>
      <w:r w:rsidRPr="008D14BB">
        <w:rPr>
          <w:color w:val="000000"/>
          <w:sz w:val="28"/>
          <w:szCs w:val="28"/>
          <w:shd w:val="clear" w:color="auto" w:fill="FFFFFF"/>
        </w:rPr>
        <w:t>O ser humano «é simultaneamente filho e pai da cultura na qual está inserido».</w:t>
      </w:r>
      <w:r w:rsidRPr="008D14B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14BB">
        <w:rPr>
          <w:color w:val="000000"/>
          <w:sz w:val="28"/>
          <w:szCs w:val="28"/>
          <w:shd w:val="clear" w:color="auto" w:fill="FFFFFF"/>
        </w:rPr>
        <w:t xml:space="preserve">Quando o Evangelho se inculturou num povo, no seu processo de transmissão cultural também transmite a fé de maneira sempre nova; daí </w:t>
      </w:r>
      <w:r w:rsidRPr="008D14BB">
        <w:rPr>
          <w:color w:val="000000"/>
          <w:sz w:val="28"/>
          <w:szCs w:val="28"/>
          <w:shd w:val="clear" w:color="auto" w:fill="FFFFFF"/>
        </w:rPr>
        <w:lastRenderedPageBreak/>
        <w:t>a importância da evangelização entendida como inculturação. Cada porção do povo de Deus, ao traduzir na vida o dom de Deus segundo a sua índole própria, dá testemunho da fé recebida e enriquece-a com novas expressões que falam por si”</w:t>
      </w:r>
      <w:r w:rsidRPr="008D14BB">
        <w:rPr>
          <w:rStyle w:val="Refdenotaderodap"/>
          <w:sz w:val="28"/>
          <w:szCs w:val="28"/>
          <w:shd w:val="clear" w:color="auto" w:fill="FFFFFF"/>
        </w:rPr>
        <w:footnoteReference w:id="3"/>
      </w:r>
      <w:r w:rsidRPr="008D14BB">
        <w:rPr>
          <w:color w:val="000000"/>
          <w:sz w:val="28"/>
          <w:szCs w:val="28"/>
          <w:shd w:val="clear" w:color="auto" w:fill="FFFFFF"/>
        </w:rPr>
        <w:t>.</w:t>
      </w:r>
      <w:r w:rsidRPr="008D14B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F6440" w:rsidRPr="008D14BB" w:rsidRDefault="00BF6440" w:rsidP="008D14BB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BF6440" w:rsidRPr="008D14BB" w:rsidRDefault="00BF6440" w:rsidP="008D14BB">
      <w:pPr>
        <w:spacing w:line="360" w:lineRule="auto"/>
        <w:jc w:val="both"/>
        <w:rPr>
          <w:sz w:val="28"/>
          <w:szCs w:val="28"/>
        </w:rPr>
      </w:pPr>
    </w:p>
    <w:p w:rsidR="00A85EE0" w:rsidRDefault="00A85EE0" w:rsidP="00A85EE0">
      <w:pPr>
        <w:widowControl w:val="0"/>
        <w:autoSpaceDE w:val="0"/>
        <w:autoSpaceDN w:val="0"/>
        <w:adjustRightInd w:val="0"/>
        <w:spacing w:after="170" w:line="290" w:lineRule="atLeast"/>
        <w:ind w:firstLine="454"/>
        <w:jc w:val="both"/>
        <w:textAlignment w:val="baseline"/>
      </w:pPr>
    </w:p>
    <w:sectPr w:rsidR="00A85EE0" w:rsidSect="00B30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8F" w:rsidRDefault="00F9078F" w:rsidP="00BF6440">
      <w:r>
        <w:separator/>
      </w:r>
    </w:p>
  </w:endnote>
  <w:endnote w:type="continuationSeparator" w:id="0">
    <w:p w:rsidR="00F9078F" w:rsidRDefault="00F9078F" w:rsidP="00BF6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87" w:rsidRDefault="00D83D8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87" w:rsidRDefault="00D83D8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87" w:rsidRDefault="00D83D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8F" w:rsidRDefault="00F9078F" w:rsidP="00BF6440">
      <w:r>
        <w:separator/>
      </w:r>
    </w:p>
  </w:footnote>
  <w:footnote w:type="continuationSeparator" w:id="0">
    <w:p w:rsidR="00F9078F" w:rsidRDefault="00F9078F" w:rsidP="00BF6440">
      <w:r>
        <w:continuationSeparator/>
      </w:r>
    </w:p>
  </w:footnote>
  <w:footnote w:id="1">
    <w:p w:rsidR="00BF6440" w:rsidRPr="00F33035" w:rsidRDefault="00BF6440" w:rsidP="00BF6440">
      <w:pPr>
        <w:pStyle w:val="Textodenotaderodap"/>
      </w:pPr>
      <w:r>
        <w:rPr>
          <w:rStyle w:val="Refdenotaderodap"/>
        </w:rPr>
        <w:footnoteRef/>
      </w:r>
      <w:r>
        <w:t xml:space="preserve"> PAPA FRANCISCO - </w:t>
      </w:r>
      <w:r>
        <w:rPr>
          <w:i/>
        </w:rPr>
        <w:t>Evangelii Gaudium,</w:t>
      </w:r>
      <w:r>
        <w:t>, n. 137</w:t>
      </w:r>
    </w:p>
  </w:footnote>
  <w:footnote w:id="2">
    <w:p w:rsidR="00BF6440" w:rsidRDefault="00BF6440" w:rsidP="00BF6440">
      <w:pPr>
        <w:pStyle w:val="Textodenotaderodap"/>
      </w:pPr>
      <w:r>
        <w:rPr>
          <w:rStyle w:val="Refdenotaderodap"/>
        </w:rPr>
        <w:footnoteRef/>
      </w:r>
      <w:r>
        <w:t xml:space="preserve"> Ibid., n.  138</w:t>
      </w:r>
    </w:p>
  </w:footnote>
  <w:footnote w:id="3">
    <w:p w:rsidR="00BF6440" w:rsidRDefault="00BF6440" w:rsidP="00BF6440">
      <w:pPr>
        <w:pStyle w:val="Textodenotaderodap"/>
      </w:pPr>
      <w:r>
        <w:rPr>
          <w:rStyle w:val="Refdenotaderodap"/>
        </w:rPr>
        <w:footnoteRef/>
      </w:r>
      <w:r>
        <w:t xml:space="preserve"> Ibid. 122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87" w:rsidRDefault="00D83D8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3313"/>
      <w:docPartObj>
        <w:docPartGallery w:val="Page Numbers (Top of Page)"/>
        <w:docPartUnique/>
      </w:docPartObj>
    </w:sdtPr>
    <w:sdtContent>
      <w:p w:rsidR="00D83D87" w:rsidRDefault="00FB1A8E">
        <w:pPr>
          <w:pStyle w:val="Cabealho"/>
          <w:jc w:val="right"/>
        </w:pPr>
        <w:fldSimple w:instr=" PAGE   \* MERGEFORMAT ">
          <w:r w:rsidR="00CE4AAA">
            <w:rPr>
              <w:noProof/>
            </w:rPr>
            <w:t>5</w:t>
          </w:r>
        </w:fldSimple>
      </w:p>
    </w:sdtContent>
  </w:sdt>
  <w:p w:rsidR="00D83D87" w:rsidRDefault="00D83D8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87" w:rsidRDefault="00D83D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7FC"/>
    <w:multiLevelType w:val="hybridMultilevel"/>
    <w:tmpl w:val="DB3ABDB8"/>
    <w:lvl w:ilvl="0" w:tplc="E766E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340B0"/>
    <w:multiLevelType w:val="hybridMultilevel"/>
    <w:tmpl w:val="B2D8B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440"/>
    <w:rsid w:val="000F5F3D"/>
    <w:rsid w:val="000F6C94"/>
    <w:rsid w:val="001836DB"/>
    <w:rsid w:val="001B2256"/>
    <w:rsid w:val="002761B1"/>
    <w:rsid w:val="002F6CF0"/>
    <w:rsid w:val="004A1DF8"/>
    <w:rsid w:val="006107C5"/>
    <w:rsid w:val="00624B4D"/>
    <w:rsid w:val="007D3991"/>
    <w:rsid w:val="00823610"/>
    <w:rsid w:val="008D14BB"/>
    <w:rsid w:val="00A85EE0"/>
    <w:rsid w:val="00B72410"/>
    <w:rsid w:val="00BF6440"/>
    <w:rsid w:val="00C0482E"/>
    <w:rsid w:val="00CE4AAA"/>
    <w:rsid w:val="00D6320F"/>
    <w:rsid w:val="00D83D87"/>
    <w:rsid w:val="00F9078F"/>
    <w:rsid w:val="00FB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BF6440"/>
    <w:rPr>
      <w:rFonts w:ascii="TimesNewRomanPSMT" w:hAnsi="TimesNewRomanPSMT"/>
      <w:color w:val="000000"/>
      <w:w w:val="100"/>
      <w:sz w:val="24"/>
      <w:szCs w:val="24"/>
      <w:vertAlign w:val="superscript"/>
    </w:rPr>
  </w:style>
  <w:style w:type="character" w:customStyle="1" w:styleId="apple-converted-space">
    <w:name w:val="apple-converted-space"/>
    <w:basedOn w:val="Fontepargpadro"/>
    <w:rsid w:val="00BF644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4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4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5EE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85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3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3D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83D8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8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1372</Words>
  <Characters>7409</Characters>
  <Application>Microsoft Office Word</Application>
  <DocSecurity>0</DocSecurity>
  <Lines>61</Lines>
  <Paragraphs>17</Paragraphs>
  <ScaleCrop>false</ScaleCrop>
  <Company>Arquidiocese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Geraldo</dc:creator>
  <cp:lastModifiedBy>Geraldo</cp:lastModifiedBy>
  <cp:revision>3</cp:revision>
  <dcterms:created xsi:type="dcterms:W3CDTF">2014-07-16T12:44:00Z</dcterms:created>
  <dcterms:modified xsi:type="dcterms:W3CDTF">2014-07-22T09:18:00Z</dcterms:modified>
</cp:coreProperties>
</file>